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0AB0" w:rsidRPr="002D0AB0" w:rsidRDefault="002D0AB0" w:rsidP="002D0AB0">
      <w:pPr>
        <w:keepNext/>
        <w:keepLines/>
        <w:spacing w:before="120" w:after="120" w:line="276" w:lineRule="auto"/>
        <w:ind w:firstLine="482"/>
        <w:jc w:val="right"/>
        <w:rPr>
          <w:rFonts w:ascii="Times New Roman" w:eastAsia="Times New Roman" w:hAnsi="Times New Roman" w:cs="Times New Roman"/>
          <w:lang w:eastAsia="ru-RU"/>
        </w:rPr>
      </w:pPr>
      <w:r w:rsidRPr="002D0AB0">
        <w:rPr>
          <w:rFonts w:ascii="Times New Roman" w:eastAsia="Times New Roman" w:hAnsi="Times New Roman" w:cs="Times New Roman"/>
          <w:lang w:eastAsia="ru-RU"/>
        </w:rPr>
        <w:t xml:space="preserve">Приложение N </w:t>
      </w:r>
      <w:r w:rsidRPr="002D0AB0">
        <w:rPr>
          <w:rFonts w:ascii="Times New Roman" w:eastAsia="Times New Roman" w:hAnsi="Times New Roman" w:cs="Times New Roman"/>
          <w:lang w:eastAsia="ru-RU"/>
        </w:rPr>
        <w:fldChar w:fldCharType="begin" w:fldLock="1"/>
      </w:r>
      <w:r w:rsidRPr="002D0AB0">
        <w:rPr>
          <w:rFonts w:ascii="Times New Roman" w:eastAsia="Times New Roman" w:hAnsi="Times New Roman" w:cs="Times New Roman"/>
          <w:lang w:eastAsia="ru-RU"/>
        </w:rPr>
        <w:instrText xml:space="preserve"> REF _ref_584780 \h \n \! </w:instrText>
      </w:r>
      <w:r w:rsidRPr="002D0AB0">
        <w:rPr>
          <w:rFonts w:ascii="Times New Roman" w:eastAsia="Times New Roman" w:hAnsi="Times New Roman" w:cs="Times New Roman"/>
          <w:lang w:eastAsia="ru-RU"/>
        </w:rPr>
      </w:r>
      <w:r w:rsidRPr="002D0AB0">
        <w:rPr>
          <w:rFonts w:ascii="Times New Roman" w:eastAsia="Times New Roman" w:hAnsi="Times New Roman" w:cs="Times New Roman"/>
          <w:lang w:eastAsia="ru-RU"/>
        </w:rPr>
        <w:fldChar w:fldCharType="separate"/>
      </w:r>
      <w:r w:rsidRPr="002D0AB0">
        <w:rPr>
          <w:rFonts w:ascii="Times New Roman" w:eastAsia="Times New Roman" w:hAnsi="Times New Roman" w:cs="Times New Roman"/>
          <w:lang w:eastAsia="ru-RU"/>
        </w:rPr>
        <w:t>5</w:t>
      </w:r>
      <w:r w:rsidRPr="002D0AB0">
        <w:rPr>
          <w:rFonts w:ascii="Times New Roman" w:eastAsia="Times New Roman" w:hAnsi="Times New Roman" w:cs="Times New Roman"/>
          <w:lang w:eastAsia="ru-RU"/>
        </w:rPr>
        <w:fldChar w:fldCharType="end"/>
      </w:r>
      <w:r w:rsidRPr="002D0AB0">
        <w:rPr>
          <w:rFonts w:ascii="Times New Roman" w:eastAsia="Times New Roman" w:hAnsi="Times New Roman" w:cs="Times New Roman"/>
          <w:lang w:eastAsia="ru-RU"/>
        </w:rPr>
        <w:br/>
        <w:t>к Учетной политике</w:t>
      </w:r>
      <w:r w:rsidRPr="002D0AB0">
        <w:rPr>
          <w:rFonts w:ascii="Times New Roman" w:eastAsia="Times New Roman" w:hAnsi="Times New Roman" w:cs="Times New Roman"/>
          <w:lang w:eastAsia="ru-RU"/>
        </w:rPr>
        <w:br/>
        <w:t>для целей бюджетного учета</w:t>
      </w:r>
    </w:p>
    <w:p w:rsidR="00670AB5" w:rsidRPr="00670AB5" w:rsidRDefault="00670AB5" w:rsidP="00670AB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docStart_7"/>
      <w:bookmarkEnd w:id="0"/>
      <w:r w:rsidRPr="00670AB5">
        <w:rPr>
          <w:rFonts w:ascii="Times New Roman" w:hAnsi="Times New Roman" w:cs="Times New Roman"/>
          <w:b/>
          <w:sz w:val="28"/>
          <w:szCs w:val="28"/>
        </w:rPr>
        <w:t>Положение о комиссии по поступлению и выбытию активов</w:t>
      </w:r>
    </w:p>
    <w:p w:rsidR="00670AB5" w:rsidRPr="00670AB5" w:rsidRDefault="00670AB5" w:rsidP="00670AB5">
      <w:pPr>
        <w:rPr>
          <w:rFonts w:ascii="Times New Roman" w:hAnsi="Times New Roman" w:cs="Times New Roman"/>
          <w:b/>
          <w:sz w:val="24"/>
          <w:szCs w:val="24"/>
        </w:rPr>
      </w:pPr>
      <w:r w:rsidRPr="00670AB5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 xml:space="preserve">1.1. Состав комиссии по поступлению и выбытию активов (далее - комиссия) утверждается </w:t>
      </w:r>
      <w:r w:rsidR="00F2702B">
        <w:rPr>
          <w:rFonts w:ascii="Times New Roman" w:hAnsi="Times New Roman" w:cs="Times New Roman"/>
          <w:sz w:val="24"/>
          <w:szCs w:val="24"/>
        </w:rPr>
        <w:t>Приложением №4 к Приказу об утверждении Учетной политике</w:t>
      </w:r>
      <w:r w:rsidRPr="00670AB5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  <w:bookmarkEnd w:id="1"/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1.2. Комиссию возглавляет председатель, который осуществляет общее руководство деятельностью комиссии, обеспечивает коллегиальность в обсуждении спорных вопросов, распределяет обязанности и дает поручения членам комиссии.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1.3. Заседания комиссии проводятся по мере необходимости, но не реже одного раза в квартал.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1.4. Срок рассмотрения комиссией представленных ей документов не должен превышать 14 календарных дней.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1.5. Заседание комиссии правомочно при наличии не менее 2/3 ее состава.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1.6. Для участия в заседаниях комиссии могут приглашаться эксперты, обладающие специальными знаниями. Они включаются в состав комиссии на добровольной основе.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1.7. Экспертом не может быть лицо, отвечающее за материальные ценности, в отношении которых принимается решение о списании.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1.8. Решение комиссии оформляется протоколом, который подписывают председатель и члены комиссии, присутствовавшие на заседании.</w:t>
      </w:r>
    </w:p>
    <w:p w:rsidR="00670AB5" w:rsidRPr="00670AB5" w:rsidRDefault="00670AB5" w:rsidP="00670AB5">
      <w:pPr>
        <w:rPr>
          <w:rFonts w:ascii="Times New Roman" w:hAnsi="Times New Roman" w:cs="Times New Roman"/>
          <w:b/>
          <w:sz w:val="24"/>
          <w:szCs w:val="24"/>
        </w:rPr>
      </w:pPr>
      <w:r w:rsidRPr="00670AB5">
        <w:rPr>
          <w:rFonts w:ascii="Times New Roman" w:hAnsi="Times New Roman" w:cs="Times New Roman"/>
          <w:b/>
          <w:sz w:val="24"/>
          <w:szCs w:val="24"/>
        </w:rPr>
        <w:t>2. Принятие решений по поступлению активов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2.1. В части поступления активов комиссия принимает решения по следующим вопросам: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физическое принятие активов в случаях, прямо предусмотренных внутренними актами организации;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определение категории нефинансовых активов (основные средства, нематериальные активы, непроизведенные активы или материальные запасы), к которой относится поступившее имущество;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выбор метода определения справедливой стоимости имущества в случаях, установленных нормативными актами и (или) Учетной политикой;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определение справедливой стоимости безвозмездно полученного и иного имущества в случаях, установленных нормативными актами и (или) Учетной политикой;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определение первоначальной стоимости и метода амортизации поступивших объектов нефинансовых активов;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определение срока полезного использования имущества в целях начисления по нему амортизации в случаях отсутствия информации в законодательстве РФ и документах производителя;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определение величин оценочных резервов в случаях, установленных нормативными актами и (или) Учетной политикой;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lastRenderedPageBreak/>
        <w:t>- изменение первоначально принятых нормативных показателей функционирования объекта основных средств, в том числе в результате проведенных достройки, дооборудования, реконструкции или модернизации.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2.2. Решение о первоначальной стоимости объектов нефинансовых активов при их приобретении, сооружении, изготовлении (создании) принимается комиссией на основании контрактов, договоров, актов приемки-сдачи выполненных работ, накладных и других сопроводительных документов поставщика.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2.3. Первоначальной стоимостью нефинансовых активов, поступивших по договорам дарения, пожертвования, признается их справедливая стоимость на дату принятия к бюджетному учету.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Первоначальной стоимостью нефинансовых активов, оприходованных в виде излишков, выявленных при инвентаризации, признается их справедливая стоимость на дату принятия к бюджетному учету.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Размер ущерба от недостач, хищений, подлежащих возмещению виновными лицами, определяется как справедливая стоимость имущества на день обнаружения ущерба.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Справедливая стоимость имущества определяется комиссией по поступлению и выбытию активов методом рыночных цен, а при невозможности использовать его - методом амортизированной стоимости замещения.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Размер ущерба в виде потерь от порчи материальных ценностей, других сумм причиненного ущерба имуществу определяется как стоимость восстановления (воспроизводства) испорченного имущества.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2.4. В случае достройки, реконструкции, модернизации объектов основных средств производится увеличение их первоначальной стоимости на сумму сформированных капитальных вложений в эти объекты.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Прием объектов основных средств из ремонта, реконструкции, модернизации комиссия оформляет Актом приема-сдачи отремонтированных, реконструированных и модернизированных объектов основных средств (ф. 0504103). Частичная ликвидация объекта основных средств при выполнении работ по его реконструкции оформляется Актом приема-сдачи отремонтированных, реконструированных и модернизированных объектов основных средств (ф. 0504103).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2.5. Поступление нефинансовых активов комиссия оформляет следующими первичными учетными документами: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Актом о приеме-передаче объектов нефинансовых активов (ф. 0504101);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Приходным ордером на приемку материальных ценностей (нефинансовых активов) (ф. 0504207);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Актом приемки материалов (материальных ценностей) (ф. 0504220).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2.6. В случаях изменения первоначально принятых нормативных показателей функционирования объекта основных средств, в том числе в результате проведенной достройки, дооборудования, реконструкции или модернизации, срок полезного использования по этому объекту комиссией пересматривается.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2.7. Присвоенный объекту инвентарный номер наносится материально ответственным лицом в присутствии уполномоченного члена комиссии в порядке, определенном Учетной политикой.</w:t>
      </w:r>
    </w:p>
    <w:p w:rsidR="00670AB5" w:rsidRPr="00670AB5" w:rsidRDefault="00670AB5" w:rsidP="00670AB5">
      <w:pPr>
        <w:rPr>
          <w:rFonts w:ascii="Times New Roman" w:hAnsi="Times New Roman" w:cs="Times New Roman"/>
          <w:b/>
          <w:sz w:val="24"/>
          <w:szCs w:val="24"/>
        </w:rPr>
      </w:pPr>
      <w:r w:rsidRPr="00670AB5">
        <w:rPr>
          <w:rFonts w:ascii="Times New Roman" w:hAnsi="Times New Roman" w:cs="Times New Roman"/>
          <w:b/>
          <w:sz w:val="24"/>
          <w:szCs w:val="24"/>
        </w:rPr>
        <w:lastRenderedPageBreak/>
        <w:t>3. Принятие решений по выбытию (списанию) активов и списанию задолженности неплатежеспособных дебиторов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3.1. В части выбытия (списания) активов и задолженности комиссия принимает решения по следующим вопросам: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о выбытии (списании) нефинансовых активов (в том числе объектов движимого имущества стоимостью до 10 000 руб. включительно, учитываемых на забалансовом счете 21);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о возможности использовать отдельные узлы, детали, конструкции и материалы, полученные в результате списания объектов нефинансовых активов;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о частичной ликвидации (</w:t>
      </w:r>
      <w:proofErr w:type="spellStart"/>
      <w:r w:rsidRPr="00670AB5">
        <w:rPr>
          <w:rFonts w:ascii="Times New Roman" w:hAnsi="Times New Roman" w:cs="Times New Roman"/>
          <w:sz w:val="24"/>
          <w:szCs w:val="24"/>
        </w:rPr>
        <w:t>разукомплектации</w:t>
      </w:r>
      <w:proofErr w:type="spellEnd"/>
      <w:r w:rsidRPr="00670AB5">
        <w:rPr>
          <w:rFonts w:ascii="Times New Roman" w:hAnsi="Times New Roman" w:cs="Times New Roman"/>
          <w:sz w:val="24"/>
          <w:szCs w:val="24"/>
        </w:rPr>
        <w:t>) основных средств и об определении стоимости выбывающей части актива при его частичной ликвидации;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о пригодности дальнейшего использования имущества, возможности и эффективности его восстановления;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о списании задолженности неплатежеспособных дебиторов, а также списании с забалансового учета задолженности, признанной безнадежной к взысканию.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3.2. Решение о выбытии имущества принимается, если оно: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непригодно для дальнейшего использования по целевому назначению вследствие полной или частичной утраты потребительских свойств, в том числе физического или морального износа;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выбыло из владения, пользования, распоряжения вследствие гибели или уничтожения, в том числе в результате хищения, недостачи, порчи, выявленных при инвентаризации, а также если невозможно выяснить его местонахождение;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передается государственному (муниципальному) учреждению, органу государственной власти, местного самоуправления, государственному (муниципальному) предприятию;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в других случаях, предусмотренных законодательством РФ.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3.3. Решение о списании имущества принимается комиссией после проведения следующих мероприятий: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осмотр имущества, подлежащего списанию (при наличии такой возможности), с учетом данных, содержащихся в учетно-технической и иной документации;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установление причин списания имущества: физический и (или) моральный износ, нарушение условий содержания и (или) эксплуатации, авария, стихийное бедствие, длительное неиспользование имущества, иные причины;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установление виновных лиц, действия которых привели к необходимости списать имущество до истечения срока его полезного использования;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подготовка документов, необходимых для принятия решения о списании имущества.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 xml:space="preserve">3.4. В случае признания задолженности неплатежеспособных дебиторов нереальной к взысканию комиссия принимает решение о списании такой задолженности на </w:t>
      </w:r>
      <w:proofErr w:type="spellStart"/>
      <w:r w:rsidRPr="00670AB5">
        <w:rPr>
          <w:rFonts w:ascii="Times New Roman" w:hAnsi="Times New Roman" w:cs="Times New Roman"/>
          <w:sz w:val="24"/>
          <w:szCs w:val="24"/>
        </w:rPr>
        <w:t>забалансовый</w:t>
      </w:r>
      <w:proofErr w:type="spellEnd"/>
      <w:r w:rsidRPr="00670AB5">
        <w:rPr>
          <w:rFonts w:ascii="Times New Roman" w:hAnsi="Times New Roman" w:cs="Times New Roman"/>
          <w:sz w:val="24"/>
          <w:szCs w:val="24"/>
        </w:rPr>
        <w:t xml:space="preserve"> учет.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Решение о списании задолженности с забалансового счета 04 комиссия принимает при признании задолженности безнадежной к взысканию после проверки документов, необходимых для списания задолженности неплатежеспособных дебиторов.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lastRenderedPageBreak/>
        <w:t>3.5. Выбытие (списание) нефинансовых активов оформляется следующими документами: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Акт о приеме-передаче объектов нефинансовых активов (ф. 0504101);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Акт о списании объектов нефинансовых активов (кроме транспортных средств) (ф. 0504104);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Акт о списании транспортного средства (ф. 0504105);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Акт о списании мягкого и хозяйственного инвентаря (ф. 0504143);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- Акт о списании материальных запасов (ф. 0504230).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3.6. Оформленный комиссией акт о списании имущества утверждается руководителем.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3.7. До утверждения в установленном порядке акта о списании реализация мероприятий, предусмотренных этим актом, не допускается.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Реализация мероприятий осуществляется самостоятельно либо с привлечением третьих лиц на основании заключенного договора и подтверждается комиссией.</w:t>
      </w:r>
    </w:p>
    <w:p w:rsidR="00670AB5" w:rsidRPr="00670AB5" w:rsidRDefault="00670AB5" w:rsidP="00670AB5">
      <w:pPr>
        <w:rPr>
          <w:rFonts w:ascii="Times New Roman" w:hAnsi="Times New Roman" w:cs="Times New Roman"/>
          <w:b/>
          <w:sz w:val="24"/>
          <w:szCs w:val="24"/>
        </w:rPr>
      </w:pPr>
      <w:r w:rsidRPr="00670AB5">
        <w:rPr>
          <w:rFonts w:ascii="Times New Roman" w:hAnsi="Times New Roman" w:cs="Times New Roman"/>
          <w:b/>
          <w:sz w:val="24"/>
          <w:szCs w:val="24"/>
        </w:rPr>
        <w:t>4. Принятие решений по вопросам обесценения активов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4.1. При выявлении признаков возможного обесценения (снижения убытка) соответствующие обстоятельства рассматриваются комиссией по поступлению и выбытию активов.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4.2. Если по результатам рассмотрения выявленные признаки обесценения (снижения убытка) признаны существенными, комиссия выносит заключение о необходимости определить справедливую стоимость каждого актива, по которому выявлены признаки возможного обесценения (снижения убытка), или об отсутствии такой необходимости.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4.3. Если выявленные признаки обесценения (снижения убытка) являются несущественными, комиссия выносит заключение об отсутствии необходимости определять справедливую стоимость.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4.4. В случае необходимости определить справедливую стоимость комиссия утверждает метод, который будет при этом использоваться.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4.5. Заключение о необходимости (отсутствии необходимости) определить справедливую стоимость и о применяемом для этого методе оформляется в виде представления для руководителя.</w:t>
      </w:r>
    </w:p>
    <w:p w:rsidR="00670AB5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4.6. В представление могут быть включены рекомендации комиссии по дальнейшему использованию имущества.</w:t>
      </w:r>
    </w:p>
    <w:p w:rsidR="00CE0D1B" w:rsidRPr="00670AB5" w:rsidRDefault="00670AB5" w:rsidP="00670AB5">
      <w:pPr>
        <w:rPr>
          <w:rFonts w:ascii="Times New Roman" w:hAnsi="Times New Roman" w:cs="Times New Roman"/>
          <w:sz w:val="24"/>
          <w:szCs w:val="24"/>
        </w:rPr>
      </w:pPr>
      <w:r w:rsidRPr="00670AB5">
        <w:rPr>
          <w:rFonts w:ascii="Times New Roman" w:hAnsi="Times New Roman" w:cs="Times New Roman"/>
          <w:sz w:val="24"/>
          <w:szCs w:val="24"/>
        </w:rPr>
        <w:t>4.7. Если выявлены признаки снижения убытка от обесценения, а сумма убытка не подлежит восстановлению, комиссия выносит заключение о необходимости (отсутствии необходимости) скорректировать оставшийся срок полезного использования актива. Это заключение оформляется в виде представления для руководителя.</w:t>
      </w:r>
    </w:p>
    <w:sectPr w:rsidR="00CE0D1B" w:rsidRPr="00670AB5" w:rsidSect="00000A8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B24"/>
    <w:rsid w:val="00000A8B"/>
    <w:rsid w:val="00044B24"/>
    <w:rsid w:val="002D0AB0"/>
    <w:rsid w:val="003B18C6"/>
    <w:rsid w:val="00430180"/>
    <w:rsid w:val="00670AB5"/>
    <w:rsid w:val="00CE0D1B"/>
    <w:rsid w:val="00F22F02"/>
    <w:rsid w:val="00F27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09B6A"/>
  <w15:chartTrackingRefBased/>
  <w15:docId w15:val="{1E83B8C2-34FF-4670-B42E-FE42AA39B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D0AB0"/>
    <w:pPr>
      <w:keepNext/>
      <w:keepLines/>
      <w:numPr>
        <w:numId w:val="1"/>
      </w:numPr>
      <w:spacing w:before="240" w:after="120" w:line="276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2D0AB0"/>
    <w:pPr>
      <w:numPr>
        <w:ilvl w:val="1"/>
        <w:numId w:val="1"/>
      </w:numPr>
      <w:spacing w:before="120" w:after="120" w:line="276" w:lineRule="auto"/>
      <w:ind w:firstLine="482"/>
      <w:jc w:val="both"/>
      <w:outlineLvl w:val="1"/>
    </w:pPr>
    <w:rPr>
      <w:rFonts w:ascii="Times New Roman" w:eastAsia="Times New Roman" w:hAnsi="Times New Roman" w:cs="Times New Roman"/>
      <w:bCs/>
      <w:szCs w:val="26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D0AB0"/>
    <w:pPr>
      <w:numPr>
        <w:ilvl w:val="2"/>
        <w:numId w:val="1"/>
      </w:numPr>
      <w:spacing w:before="120" w:after="120" w:line="276" w:lineRule="auto"/>
      <w:ind w:firstLine="482"/>
      <w:jc w:val="both"/>
      <w:outlineLvl w:val="2"/>
    </w:pPr>
    <w:rPr>
      <w:rFonts w:ascii="Times New Roman" w:eastAsia="Times New Roman" w:hAnsi="Times New Roman" w:cs="Times New Roman"/>
      <w:bCs/>
      <w:lang w:eastAsia="ru-RU"/>
    </w:rPr>
  </w:style>
  <w:style w:type="paragraph" w:styleId="4">
    <w:name w:val="heading 4"/>
    <w:basedOn w:val="a"/>
    <w:next w:val="a"/>
    <w:link w:val="40"/>
    <w:uiPriority w:val="9"/>
    <w:qFormat/>
    <w:rsid w:val="002D0AB0"/>
    <w:pPr>
      <w:numPr>
        <w:ilvl w:val="3"/>
        <w:numId w:val="1"/>
      </w:numPr>
      <w:spacing w:before="120" w:after="120" w:line="276" w:lineRule="auto"/>
      <w:ind w:firstLine="482"/>
      <w:jc w:val="both"/>
      <w:outlineLvl w:val="3"/>
    </w:pPr>
    <w:rPr>
      <w:rFonts w:ascii="Times New Roman" w:eastAsia="Times New Roman" w:hAnsi="Times New Roman" w:cs="Times New Roman"/>
      <w:bCs/>
      <w:iCs/>
      <w:lang w:eastAsia="ru-RU"/>
    </w:rPr>
  </w:style>
  <w:style w:type="paragraph" w:styleId="5">
    <w:name w:val="heading 5"/>
    <w:basedOn w:val="a"/>
    <w:next w:val="a"/>
    <w:link w:val="50"/>
    <w:uiPriority w:val="9"/>
    <w:qFormat/>
    <w:rsid w:val="002D0AB0"/>
    <w:pPr>
      <w:keepNext/>
      <w:keepLines/>
      <w:numPr>
        <w:ilvl w:val="4"/>
        <w:numId w:val="1"/>
      </w:numPr>
      <w:spacing w:before="200" w:after="0" w:line="276" w:lineRule="auto"/>
      <w:ind w:firstLine="482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2D0AB0"/>
    <w:pPr>
      <w:keepNext/>
      <w:keepLines/>
      <w:numPr>
        <w:ilvl w:val="5"/>
        <w:numId w:val="1"/>
      </w:numPr>
      <w:spacing w:before="200" w:after="0" w:line="276" w:lineRule="auto"/>
      <w:ind w:firstLine="482"/>
      <w:jc w:val="both"/>
      <w:outlineLvl w:val="5"/>
    </w:pPr>
    <w:rPr>
      <w:rFonts w:ascii="Times New Roman" w:eastAsia="Times New Roman" w:hAnsi="Times New Roman" w:cs="Times New Roman"/>
      <w:i/>
      <w:iCs/>
      <w:color w:val="243F60"/>
      <w:lang w:eastAsia="ru-RU"/>
    </w:rPr>
  </w:style>
  <w:style w:type="paragraph" w:styleId="7">
    <w:name w:val="heading 7"/>
    <w:basedOn w:val="a"/>
    <w:next w:val="a"/>
    <w:link w:val="70"/>
    <w:uiPriority w:val="9"/>
    <w:qFormat/>
    <w:rsid w:val="002D0AB0"/>
    <w:pPr>
      <w:keepNext/>
      <w:keepLines/>
      <w:numPr>
        <w:ilvl w:val="6"/>
        <w:numId w:val="1"/>
      </w:numPr>
      <w:spacing w:before="200" w:after="0" w:line="276" w:lineRule="auto"/>
      <w:ind w:firstLine="482"/>
      <w:jc w:val="both"/>
      <w:outlineLvl w:val="6"/>
    </w:pPr>
    <w:rPr>
      <w:rFonts w:ascii="Times New Roman" w:eastAsia="Times New Roman" w:hAnsi="Times New Roman" w:cs="Times New Roman"/>
      <w:i/>
      <w:iCs/>
      <w:color w:val="404040"/>
      <w:lang w:eastAsia="ru-RU"/>
    </w:rPr>
  </w:style>
  <w:style w:type="paragraph" w:styleId="8">
    <w:name w:val="heading 8"/>
    <w:basedOn w:val="a"/>
    <w:next w:val="a"/>
    <w:link w:val="80"/>
    <w:uiPriority w:val="9"/>
    <w:qFormat/>
    <w:rsid w:val="002D0AB0"/>
    <w:pPr>
      <w:keepNext/>
      <w:keepLines/>
      <w:numPr>
        <w:ilvl w:val="7"/>
        <w:numId w:val="1"/>
      </w:numPr>
      <w:spacing w:before="200" w:after="0" w:line="276" w:lineRule="auto"/>
      <w:ind w:firstLine="482"/>
      <w:jc w:val="both"/>
      <w:outlineLvl w:val="7"/>
    </w:pPr>
    <w:rPr>
      <w:rFonts w:ascii="Times New Roman" w:eastAsia="Times New Roman" w:hAnsi="Times New Roman" w:cs="Times New Roman"/>
      <w:color w:val="4F81BD"/>
      <w:szCs w:val="20"/>
      <w:lang w:eastAsia="ru-RU"/>
    </w:rPr>
  </w:style>
  <w:style w:type="paragraph" w:styleId="9">
    <w:name w:val="heading 9"/>
    <w:basedOn w:val="a"/>
    <w:next w:val="a"/>
    <w:link w:val="90"/>
    <w:uiPriority w:val="9"/>
    <w:qFormat/>
    <w:rsid w:val="002D0AB0"/>
    <w:pPr>
      <w:keepNext/>
      <w:keepLines/>
      <w:numPr>
        <w:ilvl w:val="8"/>
        <w:numId w:val="1"/>
      </w:numPr>
      <w:spacing w:before="200" w:after="0" w:line="276" w:lineRule="auto"/>
      <w:ind w:firstLine="482"/>
      <w:jc w:val="both"/>
      <w:outlineLvl w:val="8"/>
    </w:pPr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0AB0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D0AB0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D0AB0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D0AB0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D0AB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2D0AB0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D0AB0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D0AB0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D0AB0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1476</Words>
  <Characters>8417</Characters>
  <Application>Microsoft Office Word</Application>
  <DocSecurity>0</DocSecurity>
  <Lines>70</Lines>
  <Paragraphs>19</Paragraphs>
  <ScaleCrop>false</ScaleCrop>
  <Company/>
  <LinksUpToDate>false</LinksUpToDate>
  <CharactersWithSpaces>9874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Client_9_0</dc:creator>
  <cp:keywords/>
  <dc:description/>
  <cp:lastModifiedBy>Client_9_0</cp:lastModifiedBy>
  <cp:revision>7</cp:revision>
  <dcterms:created xsi:type="dcterms:W3CDTF">2018-11-23T05:05:00Z</dcterms:created>
  <dcterms:modified xsi:type="dcterms:W3CDTF">2020-11-27T07:06:00Z</dcterms:modified>
</cp:coreProperties>
</file>